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7127ECF4" w:rsidR="00837014" w:rsidRDefault="00837014">
      <w:r w:rsidRPr="00837014">
        <w:rPr>
          <w:b/>
          <w:bCs/>
        </w:rPr>
        <w:t>Reporting of emissions to air for the period from</w:t>
      </w:r>
      <w:r>
        <w:t xml:space="preserve"> </w:t>
      </w:r>
      <w:r w:rsidR="00A61163">
        <w:t>23</w:t>
      </w:r>
      <w:r>
        <w:t>/</w:t>
      </w:r>
      <w:r w:rsidR="00A61163">
        <w:t>08</w:t>
      </w:r>
      <w:r>
        <w:t>/</w:t>
      </w:r>
      <w:r w:rsidR="00A61163">
        <w:t>20</w:t>
      </w:r>
      <w:r w:rsidR="00EE3CF4">
        <w:t>20</w:t>
      </w:r>
      <w:r>
        <w:t xml:space="preserve"> </w:t>
      </w:r>
      <w:r w:rsidRPr="00837014">
        <w:rPr>
          <w:b/>
          <w:bCs/>
        </w:rPr>
        <w:t>to</w:t>
      </w:r>
      <w:r>
        <w:t xml:space="preserve"> </w:t>
      </w:r>
      <w:r w:rsidR="00A61163">
        <w:t>22</w:t>
      </w:r>
      <w:r>
        <w:t>/</w:t>
      </w:r>
      <w:r w:rsidR="00A61163">
        <w:t>08</w:t>
      </w:r>
      <w:r>
        <w:t>/</w:t>
      </w:r>
      <w:r w:rsidR="00A61163">
        <w:t>20</w:t>
      </w:r>
      <w:r w:rsidR="00293681">
        <w:t>2</w:t>
      </w:r>
      <w:r w:rsidR="00EE3CF4">
        <w:t>1</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0EDB5710" w14:textId="77777777" w:rsidR="00715D05" w:rsidRDefault="00F515F8">
            <w:pPr>
              <w:rPr>
                <w:sz w:val="20"/>
                <w:szCs w:val="20"/>
              </w:rPr>
            </w:pPr>
            <w:r>
              <w:rPr>
                <w:sz w:val="20"/>
                <w:szCs w:val="20"/>
              </w:rPr>
              <w:t>Mg/m3</w:t>
            </w:r>
          </w:p>
          <w:p w14:paraId="5FDA061C" w14:textId="72742BD9" w:rsidR="00C706BC" w:rsidRPr="00C706BC" w:rsidRDefault="00CB37C8">
            <w:pPr>
              <w:rPr>
                <w:sz w:val="20"/>
                <w:szCs w:val="20"/>
              </w:rPr>
            </w:pPr>
            <w:r>
              <w:rPr>
                <w:sz w:val="20"/>
                <w:szCs w:val="20"/>
              </w:rPr>
              <w:t>479.09</w:t>
            </w:r>
          </w:p>
        </w:tc>
        <w:tc>
          <w:tcPr>
            <w:tcW w:w="1034" w:type="dxa"/>
          </w:tcPr>
          <w:p w14:paraId="4A293E0F" w14:textId="41B65143" w:rsidR="00C706BC" w:rsidRPr="00C706BC" w:rsidRDefault="001416C2">
            <w:pPr>
              <w:rPr>
                <w:sz w:val="20"/>
                <w:szCs w:val="20"/>
              </w:rPr>
            </w:pPr>
            <w:r w:rsidRPr="001416C2">
              <w:rPr>
                <w:sz w:val="20"/>
                <w:szCs w:val="20"/>
              </w:rPr>
              <w:t>EN 14792</w:t>
            </w:r>
          </w:p>
        </w:tc>
        <w:tc>
          <w:tcPr>
            <w:tcW w:w="1680" w:type="dxa"/>
          </w:tcPr>
          <w:p w14:paraId="5E013A14" w14:textId="77777777" w:rsidR="00CD6437" w:rsidRDefault="00CB37C8">
            <w:pPr>
              <w:rPr>
                <w:sz w:val="20"/>
                <w:szCs w:val="20"/>
              </w:rPr>
            </w:pPr>
            <w:r w:rsidRPr="00CB37C8">
              <w:rPr>
                <w:sz w:val="20"/>
                <w:szCs w:val="20"/>
              </w:rPr>
              <w:t>21/09/2021</w:t>
            </w:r>
          </w:p>
          <w:p w14:paraId="2B3E8FC8" w14:textId="1218DD7F" w:rsidR="00CB37C8" w:rsidRPr="00C706BC" w:rsidRDefault="00CB37C8">
            <w:pPr>
              <w:rPr>
                <w:sz w:val="20"/>
                <w:szCs w:val="20"/>
              </w:rPr>
            </w:pPr>
            <w:r w:rsidRPr="00CB37C8">
              <w:rPr>
                <w:sz w:val="20"/>
                <w:szCs w:val="20"/>
              </w:rPr>
              <w:t>10:21 - 11:21</w:t>
            </w:r>
          </w:p>
        </w:tc>
        <w:tc>
          <w:tcPr>
            <w:tcW w:w="1198" w:type="dxa"/>
          </w:tcPr>
          <w:p w14:paraId="5393817E" w14:textId="58EABFEF" w:rsidR="00C706BC" w:rsidRPr="00C706BC" w:rsidRDefault="00F515F8">
            <w:pPr>
              <w:rPr>
                <w:sz w:val="20"/>
                <w:szCs w:val="20"/>
              </w:rPr>
            </w:pPr>
            <w:r>
              <w:rPr>
                <w:sz w:val="20"/>
                <w:szCs w:val="20"/>
              </w:rPr>
              <w:t xml:space="preserve">+/-  </w:t>
            </w:r>
            <w:r w:rsidR="00CB37C8">
              <w:rPr>
                <w:sz w:val="20"/>
                <w:szCs w:val="20"/>
              </w:rPr>
              <w:t>18.42</w:t>
            </w:r>
          </w:p>
        </w:tc>
      </w:tr>
      <w:tr w:rsidR="00C706BC"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2DBC66A8" w14:textId="00CB6F2C" w:rsidR="00C706BC" w:rsidRDefault="00F515F8">
            <w:pPr>
              <w:rPr>
                <w:sz w:val="20"/>
                <w:szCs w:val="20"/>
              </w:rPr>
            </w:pPr>
            <w:r w:rsidRPr="00F515F8">
              <w:rPr>
                <w:sz w:val="20"/>
                <w:szCs w:val="20"/>
              </w:rPr>
              <w:t xml:space="preserve">Mg/m3 </w:t>
            </w:r>
          </w:p>
          <w:p w14:paraId="177488A9" w14:textId="59500D0F" w:rsidR="0045492B" w:rsidRDefault="00AB4D1E">
            <w:pPr>
              <w:rPr>
                <w:sz w:val="20"/>
                <w:szCs w:val="20"/>
              </w:rPr>
            </w:pPr>
            <w:r>
              <w:rPr>
                <w:sz w:val="20"/>
                <w:szCs w:val="20"/>
              </w:rPr>
              <w:t>442.68</w:t>
            </w:r>
          </w:p>
          <w:p w14:paraId="7A07567F" w14:textId="6F385645" w:rsidR="006A295F" w:rsidRPr="00C706BC" w:rsidRDefault="006A295F">
            <w:pPr>
              <w:rPr>
                <w:sz w:val="20"/>
                <w:szCs w:val="20"/>
              </w:rPr>
            </w:pPr>
          </w:p>
        </w:tc>
        <w:tc>
          <w:tcPr>
            <w:tcW w:w="1034" w:type="dxa"/>
          </w:tcPr>
          <w:p w14:paraId="068E4166" w14:textId="74AB4219" w:rsidR="00C706BC" w:rsidRPr="00C706BC" w:rsidRDefault="001416C2">
            <w:pPr>
              <w:rPr>
                <w:sz w:val="20"/>
                <w:szCs w:val="20"/>
              </w:rPr>
            </w:pPr>
            <w:r w:rsidRPr="001416C2">
              <w:rPr>
                <w:sz w:val="20"/>
                <w:szCs w:val="20"/>
              </w:rPr>
              <w:t>EN 15058</w:t>
            </w:r>
          </w:p>
        </w:tc>
        <w:tc>
          <w:tcPr>
            <w:tcW w:w="1680" w:type="dxa"/>
          </w:tcPr>
          <w:p w14:paraId="6B8F2174" w14:textId="77777777" w:rsidR="00CB37C8" w:rsidRPr="00CB37C8" w:rsidRDefault="00CB37C8" w:rsidP="00CB37C8">
            <w:pPr>
              <w:rPr>
                <w:sz w:val="20"/>
                <w:szCs w:val="20"/>
              </w:rPr>
            </w:pPr>
            <w:r w:rsidRPr="00CB37C8">
              <w:rPr>
                <w:sz w:val="20"/>
                <w:szCs w:val="20"/>
              </w:rPr>
              <w:t>21/09/2021</w:t>
            </w:r>
          </w:p>
          <w:p w14:paraId="1A6F91E4" w14:textId="6D035AB2" w:rsidR="00853E15" w:rsidRPr="00C706BC" w:rsidRDefault="00CB37C8" w:rsidP="00CB37C8">
            <w:pPr>
              <w:rPr>
                <w:sz w:val="20"/>
                <w:szCs w:val="20"/>
              </w:rPr>
            </w:pPr>
            <w:r w:rsidRPr="00CB37C8">
              <w:rPr>
                <w:sz w:val="20"/>
                <w:szCs w:val="20"/>
              </w:rPr>
              <w:t>10:21 - 11:21</w:t>
            </w:r>
          </w:p>
        </w:tc>
        <w:tc>
          <w:tcPr>
            <w:tcW w:w="1198" w:type="dxa"/>
          </w:tcPr>
          <w:p w14:paraId="705DA67D" w14:textId="4CA40485" w:rsidR="00C706BC" w:rsidRPr="00C706BC" w:rsidRDefault="00F515F8">
            <w:pPr>
              <w:rPr>
                <w:sz w:val="20"/>
                <w:szCs w:val="20"/>
              </w:rPr>
            </w:pPr>
            <w:r>
              <w:rPr>
                <w:sz w:val="20"/>
                <w:szCs w:val="20"/>
              </w:rPr>
              <w:t xml:space="preserve">+/- </w:t>
            </w:r>
            <w:r w:rsidR="00AB4D1E">
              <w:rPr>
                <w:sz w:val="20"/>
                <w:szCs w:val="20"/>
              </w:rPr>
              <w:t>16.83</w:t>
            </w:r>
          </w:p>
        </w:tc>
      </w:tr>
      <w:tr w:rsidR="00C706BC"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4714400F" w14:textId="77777777" w:rsidR="006A295F" w:rsidRDefault="00F515F8">
            <w:pPr>
              <w:rPr>
                <w:sz w:val="20"/>
                <w:szCs w:val="20"/>
              </w:rPr>
            </w:pPr>
            <w:r w:rsidRPr="00F515F8">
              <w:rPr>
                <w:sz w:val="20"/>
                <w:szCs w:val="20"/>
              </w:rPr>
              <w:t>Mg/m3</w:t>
            </w:r>
          </w:p>
          <w:p w14:paraId="06DAF6C7" w14:textId="4D38884D" w:rsidR="00C706BC" w:rsidRPr="00C706BC" w:rsidRDefault="00AB4D1E">
            <w:pPr>
              <w:rPr>
                <w:sz w:val="20"/>
                <w:szCs w:val="20"/>
              </w:rPr>
            </w:pPr>
            <w:r>
              <w:rPr>
                <w:sz w:val="20"/>
                <w:szCs w:val="20"/>
              </w:rPr>
              <w:t>181.34</w:t>
            </w:r>
          </w:p>
        </w:tc>
        <w:tc>
          <w:tcPr>
            <w:tcW w:w="1034" w:type="dxa"/>
          </w:tcPr>
          <w:p w14:paraId="1939D769" w14:textId="7763C5CD" w:rsidR="00C706BC" w:rsidRPr="00C706BC" w:rsidRDefault="001416C2">
            <w:pPr>
              <w:rPr>
                <w:sz w:val="20"/>
                <w:szCs w:val="20"/>
              </w:rPr>
            </w:pPr>
            <w:r w:rsidRPr="001416C2">
              <w:rPr>
                <w:sz w:val="20"/>
                <w:szCs w:val="20"/>
              </w:rPr>
              <w:t>EN 14791</w:t>
            </w:r>
          </w:p>
        </w:tc>
        <w:tc>
          <w:tcPr>
            <w:tcW w:w="1680" w:type="dxa"/>
          </w:tcPr>
          <w:p w14:paraId="56FA0742" w14:textId="77777777" w:rsidR="00CB37C8" w:rsidRPr="00CB37C8" w:rsidRDefault="00CB37C8" w:rsidP="00CB37C8">
            <w:pPr>
              <w:rPr>
                <w:sz w:val="20"/>
                <w:szCs w:val="20"/>
              </w:rPr>
            </w:pPr>
            <w:r w:rsidRPr="00CB37C8">
              <w:rPr>
                <w:sz w:val="20"/>
                <w:szCs w:val="20"/>
              </w:rPr>
              <w:t>21/09/2021</w:t>
            </w:r>
          </w:p>
          <w:p w14:paraId="5B098393" w14:textId="50F554BA" w:rsidR="00853E15" w:rsidRPr="00C706BC" w:rsidRDefault="00CB37C8" w:rsidP="00CB37C8">
            <w:pPr>
              <w:rPr>
                <w:sz w:val="20"/>
                <w:szCs w:val="20"/>
              </w:rPr>
            </w:pPr>
            <w:r w:rsidRPr="00CB37C8">
              <w:rPr>
                <w:sz w:val="20"/>
                <w:szCs w:val="20"/>
              </w:rPr>
              <w:t>10:21 - 11:21</w:t>
            </w:r>
          </w:p>
        </w:tc>
        <w:tc>
          <w:tcPr>
            <w:tcW w:w="1198" w:type="dxa"/>
          </w:tcPr>
          <w:p w14:paraId="5FA59EAF" w14:textId="08516BBD" w:rsidR="00C706BC" w:rsidRPr="00C706BC" w:rsidRDefault="00F515F8">
            <w:pPr>
              <w:rPr>
                <w:sz w:val="20"/>
                <w:szCs w:val="20"/>
              </w:rPr>
            </w:pPr>
            <w:r w:rsidRPr="00F515F8">
              <w:rPr>
                <w:sz w:val="20"/>
                <w:szCs w:val="20"/>
              </w:rPr>
              <w:t>+/-</w:t>
            </w:r>
            <w:r>
              <w:rPr>
                <w:sz w:val="20"/>
                <w:szCs w:val="20"/>
              </w:rPr>
              <w:t xml:space="preserve"> </w:t>
            </w:r>
            <w:r w:rsidR="00AB4D1E">
              <w:rPr>
                <w:sz w:val="20"/>
                <w:szCs w:val="20"/>
              </w:rPr>
              <w:t>29.39</w:t>
            </w:r>
          </w:p>
        </w:tc>
      </w:tr>
      <w:tr w:rsidR="00C706BC"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2612A3A4" w14:textId="77777777" w:rsidR="00C706BC" w:rsidRDefault="00F515F8">
            <w:pPr>
              <w:rPr>
                <w:sz w:val="20"/>
                <w:szCs w:val="20"/>
              </w:rPr>
            </w:pPr>
            <w:r w:rsidRPr="00F515F8">
              <w:rPr>
                <w:sz w:val="20"/>
                <w:szCs w:val="20"/>
              </w:rPr>
              <w:t xml:space="preserve">Mg/m3 </w:t>
            </w:r>
          </w:p>
          <w:p w14:paraId="575F3341" w14:textId="4AAA0461" w:rsidR="006A295F" w:rsidRPr="00C706BC" w:rsidRDefault="00AB4D1E">
            <w:pPr>
              <w:rPr>
                <w:sz w:val="20"/>
                <w:szCs w:val="20"/>
              </w:rPr>
            </w:pPr>
            <w:r>
              <w:rPr>
                <w:sz w:val="20"/>
                <w:szCs w:val="20"/>
              </w:rPr>
              <w:t>658.96</w:t>
            </w:r>
          </w:p>
        </w:tc>
        <w:tc>
          <w:tcPr>
            <w:tcW w:w="1034" w:type="dxa"/>
          </w:tcPr>
          <w:p w14:paraId="7A3E1EAD" w14:textId="680F1A75" w:rsidR="00C706BC" w:rsidRPr="00C706BC" w:rsidRDefault="001416C2">
            <w:pPr>
              <w:rPr>
                <w:sz w:val="20"/>
                <w:szCs w:val="20"/>
              </w:rPr>
            </w:pPr>
            <w:r w:rsidRPr="001416C2">
              <w:rPr>
                <w:sz w:val="20"/>
                <w:szCs w:val="20"/>
              </w:rPr>
              <w:t>EN 12619:2013</w:t>
            </w:r>
          </w:p>
        </w:tc>
        <w:tc>
          <w:tcPr>
            <w:tcW w:w="1680" w:type="dxa"/>
          </w:tcPr>
          <w:p w14:paraId="787B689D" w14:textId="77777777" w:rsidR="00CB37C8" w:rsidRPr="00CB37C8" w:rsidRDefault="00CB37C8" w:rsidP="00CB37C8">
            <w:pPr>
              <w:rPr>
                <w:sz w:val="20"/>
                <w:szCs w:val="20"/>
              </w:rPr>
            </w:pPr>
            <w:r w:rsidRPr="00CB37C8">
              <w:rPr>
                <w:sz w:val="20"/>
                <w:szCs w:val="20"/>
              </w:rPr>
              <w:t>21/09/2021</w:t>
            </w:r>
          </w:p>
          <w:p w14:paraId="3C2BB96D" w14:textId="31694D37" w:rsidR="00853E15" w:rsidRPr="00C706BC" w:rsidRDefault="00CB37C8" w:rsidP="00CB37C8">
            <w:pPr>
              <w:rPr>
                <w:sz w:val="20"/>
                <w:szCs w:val="20"/>
              </w:rPr>
            </w:pPr>
            <w:r w:rsidRPr="00CB37C8">
              <w:rPr>
                <w:sz w:val="20"/>
                <w:szCs w:val="20"/>
              </w:rPr>
              <w:t>10:21 - 11:21</w:t>
            </w:r>
          </w:p>
        </w:tc>
        <w:tc>
          <w:tcPr>
            <w:tcW w:w="1198" w:type="dxa"/>
          </w:tcPr>
          <w:p w14:paraId="08002FF7" w14:textId="5E54FA0F" w:rsidR="00C706BC" w:rsidRPr="00C706BC" w:rsidRDefault="00F515F8">
            <w:pPr>
              <w:rPr>
                <w:sz w:val="20"/>
                <w:szCs w:val="20"/>
              </w:rPr>
            </w:pPr>
            <w:r w:rsidRPr="00F515F8">
              <w:rPr>
                <w:sz w:val="20"/>
                <w:szCs w:val="20"/>
              </w:rPr>
              <w:t>+/-</w:t>
            </w:r>
            <w:r>
              <w:rPr>
                <w:sz w:val="20"/>
                <w:szCs w:val="20"/>
              </w:rPr>
              <w:t xml:space="preserve"> </w:t>
            </w:r>
            <w:r w:rsidR="00AB4D1E">
              <w:rPr>
                <w:sz w:val="20"/>
                <w:szCs w:val="20"/>
              </w:rPr>
              <w:t>23.81</w:t>
            </w:r>
          </w:p>
        </w:tc>
      </w:tr>
      <w:tr w:rsidR="00C706BC"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4FEEAA07" w14:textId="77777777" w:rsidR="00C706BC" w:rsidRDefault="00F515F8">
            <w:pPr>
              <w:rPr>
                <w:sz w:val="20"/>
                <w:szCs w:val="20"/>
              </w:rPr>
            </w:pPr>
            <w:r w:rsidRPr="00F515F8">
              <w:rPr>
                <w:sz w:val="20"/>
                <w:szCs w:val="20"/>
              </w:rPr>
              <w:t xml:space="preserve">Mg/m3 </w:t>
            </w:r>
          </w:p>
          <w:p w14:paraId="0403C29A" w14:textId="236634DB" w:rsidR="006A295F" w:rsidRPr="00C706BC" w:rsidRDefault="00AB4D1E">
            <w:pPr>
              <w:rPr>
                <w:sz w:val="20"/>
                <w:szCs w:val="20"/>
              </w:rPr>
            </w:pPr>
            <w:r>
              <w:rPr>
                <w:sz w:val="20"/>
                <w:szCs w:val="20"/>
              </w:rPr>
              <w:t>Not tested</w:t>
            </w:r>
          </w:p>
        </w:tc>
        <w:tc>
          <w:tcPr>
            <w:tcW w:w="1034" w:type="dxa"/>
          </w:tcPr>
          <w:p w14:paraId="1F4D3CED" w14:textId="1DB25994" w:rsidR="00C706BC" w:rsidRPr="00C706BC" w:rsidRDefault="001416C2">
            <w:pPr>
              <w:rPr>
                <w:sz w:val="20"/>
                <w:szCs w:val="20"/>
              </w:rPr>
            </w:pPr>
            <w:r w:rsidRPr="001416C2">
              <w:rPr>
                <w:sz w:val="20"/>
                <w:szCs w:val="20"/>
              </w:rPr>
              <w:t>CEN/TS 13649</w:t>
            </w:r>
          </w:p>
        </w:tc>
        <w:tc>
          <w:tcPr>
            <w:tcW w:w="1680" w:type="dxa"/>
          </w:tcPr>
          <w:p w14:paraId="655DFA51" w14:textId="77777777" w:rsidR="00CB37C8" w:rsidRPr="00CB37C8" w:rsidRDefault="00CB37C8" w:rsidP="00CB37C8">
            <w:pPr>
              <w:rPr>
                <w:sz w:val="20"/>
                <w:szCs w:val="20"/>
              </w:rPr>
            </w:pPr>
            <w:r w:rsidRPr="00CB37C8">
              <w:rPr>
                <w:sz w:val="20"/>
                <w:szCs w:val="20"/>
              </w:rPr>
              <w:t>21/09/2021</w:t>
            </w:r>
          </w:p>
          <w:p w14:paraId="712725AA" w14:textId="6158D389" w:rsidR="00853E15" w:rsidRPr="00C706BC" w:rsidRDefault="00CB37C8" w:rsidP="00CB37C8">
            <w:pPr>
              <w:rPr>
                <w:sz w:val="20"/>
                <w:szCs w:val="20"/>
              </w:rPr>
            </w:pPr>
            <w:r w:rsidRPr="00CB37C8">
              <w:rPr>
                <w:sz w:val="20"/>
                <w:szCs w:val="20"/>
              </w:rPr>
              <w:t>10:21 - 11:21</w:t>
            </w:r>
          </w:p>
        </w:tc>
        <w:tc>
          <w:tcPr>
            <w:tcW w:w="1198" w:type="dxa"/>
          </w:tcPr>
          <w:p w14:paraId="59656214" w14:textId="3E7E56F2" w:rsidR="00C706BC" w:rsidRPr="00C706BC" w:rsidRDefault="00F515F8">
            <w:pPr>
              <w:rPr>
                <w:sz w:val="20"/>
                <w:szCs w:val="20"/>
              </w:rPr>
            </w:pPr>
            <w:r w:rsidRPr="00F515F8">
              <w:rPr>
                <w:sz w:val="20"/>
                <w:szCs w:val="20"/>
              </w:rPr>
              <w:t>+/-</w:t>
            </w:r>
            <w:r>
              <w:rPr>
                <w:sz w:val="20"/>
                <w:szCs w:val="20"/>
              </w:rPr>
              <w:t xml:space="preserve"> </w:t>
            </w:r>
            <w:r w:rsidR="006A295F">
              <w:rPr>
                <w:sz w:val="20"/>
                <w:szCs w:val="20"/>
              </w:rPr>
              <w:t xml:space="preserve"> </w:t>
            </w:r>
          </w:p>
        </w:tc>
      </w:tr>
      <w:tr w:rsidR="00C706BC"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336B2F66" w14:textId="1BE263C0" w:rsidR="00C706BC" w:rsidRPr="00C706BC" w:rsidRDefault="00CB37C8">
            <w:pPr>
              <w:rPr>
                <w:sz w:val="20"/>
                <w:szCs w:val="20"/>
              </w:rPr>
            </w:pPr>
            <w:r>
              <w:rPr>
                <w:sz w:val="20"/>
                <w:szCs w:val="20"/>
              </w:rPr>
              <w:t>498</w:t>
            </w:r>
            <w:r w:rsidR="00F515F8">
              <w:rPr>
                <w:sz w:val="20"/>
                <w:szCs w:val="20"/>
              </w:rPr>
              <w:t>°c</w:t>
            </w:r>
          </w:p>
        </w:tc>
        <w:tc>
          <w:tcPr>
            <w:tcW w:w="1034" w:type="dxa"/>
          </w:tcPr>
          <w:p w14:paraId="32063020" w14:textId="77777777" w:rsidR="00C706BC" w:rsidRPr="00C706BC" w:rsidRDefault="00C706BC">
            <w:pPr>
              <w:rPr>
                <w:sz w:val="20"/>
                <w:szCs w:val="20"/>
              </w:rPr>
            </w:pPr>
          </w:p>
        </w:tc>
        <w:tc>
          <w:tcPr>
            <w:tcW w:w="1680" w:type="dxa"/>
          </w:tcPr>
          <w:p w14:paraId="1956729C" w14:textId="77777777" w:rsidR="00853E15" w:rsidRDefault="001416C2">
            <w:pPr>
              <w:rPr>
                <w:sz w:val="20"/>
                <w:szCs w:val="20"/>
              </w:rPr>
            </w:pPr>
            <w:r>
              <w:rPr>
                <w:sz w:val="20"/>
                <w:szCs w:val="20"/>
              </w:rPr>
              <w:t>Instantaneous</w:t>
            </w:r>
          </w:p>
          <w:p w14:paraId="48F543E9" w14:textId="77777777" w:rsidR="00AB4D1E" w:rsidRPr="00AB4D1E" w:rsidRDefault="00AB4D1E" w:rsidP="00AB4D1E">
            <w:pPr>
              <w:rPr>
                <w:sz w:val="20"/>
                <w:szCs w:val="20"/>
              </w:rPr>
            </w:pPr>
            <w:r w:rsidRPr="00AB4D1E">
              <w:rPr>
                <w:sz w:val="20"/>
                <w:szCs w:val="20"/>
              </w:rPr>
              <w:t>21/09/2021</w:t>
            </w:r>
          </w:p>
          <w:p w14:paraId="32710DD3" w14:textId="4451A906" w:rsidR="00CD6437" w:rsidRPr="00C706BC" w:rsidRDefault="00CD6437" w:rsidP="00AB4D1E">
            <w:pPr>
              <w:rPr>
                <w:sz w:val="20"/>
                <w:szCs w:val="20"/>
              </w:rPr>
            </w:pPr>
          </w:p>
        </w:tc>
        <w:tc>
          <w:tcPr>
            <w:tcW w:w="1198" w:type="dxa"/>
          </w:tcPr>
          <w:p w14:paraId="75947B18" w14:textId="21D7B78E" w:rsidR="00C706BC" w:rsidRPr="00C706BC" w:rsidRDefault="006E093C">
            <w:pPr>
              <w:rPr>
                <w:sz w:val="20"/>
                <w:szCs w:val="20"/>
              </w:rPr>
            </w:pPr>
            <w:r>
              <w:rPr>
                <w:sz w:val="20"/>
                <w:szCs w:val="20"/>
              </w:rPr>
              <w:t xml:space="preserve">+/- </w:t>
            </w:r>
          </w:p>
        </w:tc>
      </w:tr>
      <w:tr w:rsidR="00C706BC"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5EE17371" w:rsidR="00C706BC" w:rsidRPr="00C706BC" w:rsidRDefault="00F515F8">
            <w:pPr>
              <w:rPr>
                <w:sz w:val="20"/>
                <w:szCs w:val="20"/>
              </w:rPr>
            </w:pPr>
            <w:r>
              <w:rPr>
                <w:sz w:val="20"/>
                <w:szCs w:val="20"/>
              </w:rPr>
              <w:t>N/A</w:t>
            </w:r>
          </w:p>
        </w:tc>
        <w:tc>
          <w:tcPr>
            <w:tcW w:w="1034" w:type="dxa"/>
          </w:tcPr>
          <w:p w14:paraId="4AD2FC04" w14:textId="7FAA1637" w:rsidR="00C706BC" w:rsidRPr="00C706BC" w:rsidRDefault="00F515F8">
            <w:pPr>
              <w:rPr>
                <w:sz w:val="20"/>
                <w:szCs w:val="20"/>
              </w:rPr>
            </w:pPr>
            <w:r w:rsidRPr="00F515F8">
              <w:rPr>
                <w:sz w:val="20"/>
                <w:szCs w:val="20"/>
              </w:rPr>
              <w:t>N/A</w:t>
            </w:r>
          </w:p>
        </w:tc>
        <w:tc>
          <w:tcPr>
            <w:tcW w:w="1680" w:type="dxa"/>
          </w:tcPr>
          <w:p w14:paraId="1B1B0969" w14:textId="37436C3F" w:rsidR="00C706BC" w:rsidRPr="00C706BC" w:rsidRDefault="00F515F8">
            <w:pPr>
              <w:rPr>
                <w:sz w:val="20"/>
                <w:szCs w:val="20"/>
              </w:rPr>
            </w:pPr>
            <w:r w:rsidRPr="00F515F8">
              <w:rPr>
                <w:sz w:val="20"/>
                <w:szCs w:val="20"/>
              </w:rPr>
              <w:t>N/A</w:t>
            </w:r>
          </w:p>
        </w:tc>
        <w:tc>
          <w:tcPr>
            <w:tcW w:w="1198" w:type="dxa"/>
          </w:tcPr>
          <w:p w14:paraId="19F1D417" w14:textId="46AB3BDA" w:rsidR="00C706BC" w:rsidRPr="00C706BC" w:rsidRDefault="00F515F8">
            <w:pPr>
              <w:rPr>
                <w:sz w:val="20"/>
                <w:szCs w:val="20"/>
              </w:rPr>
            </w:pPr>
            <w:r w:rsidRPr="00F515F8">
              <w:rPr>
                <w:sz w:val="20"/>
                <w:szCs w:val="20"/>
              </w:rPr>
              <w:t>N/A</w:t>
            </w:r>
          </w:p>
        </w:tc>
      </w:tr>
      <w:tr w:rsidR="00C706BC"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0AF87FC1" w:rsidR="00C706BC" w:rsidRPr="00C706BC" w:rsidRDefault="00F515F8">
            <w:pPr>
              <w:rPr>
                <w:sz w:val="20"/>
                <w:szCs w:val="20"/>
              </w:rPr>
            </w:pPr>
            <w:r w:rsidRPr="00F515F8">
              <w:rPr>
                <w:sz w:val="20"/>
                <w:szCs w:val="20"/>
              </w:rPr>
              <w:t>N/A</w:t>
            </w:r>
          </w:p>
        </w:tc>
        <w:tc>
          <w:tcPr>
            <w:tcW w:w="1034" w:type="dxa"/>
          </w:tcPr>
          <w:p w14:paraId="45991FED" w14:textId="35CC8367" w:rsidR="00C706BC" w:rsidRPr="00C706BC" w:rsidRDefault="00F515F8">
            <w:pPr>
              <w:rPr>
                <w:sz w:val="20"/>
                <w:szCs w:val="20"/>
              </w:rPr>
            </w:pPr>
            <w:r w:rsidRPr="00F515F8">
              <w:rPr>
                <w:sz w:val="20"/>
                <w:szCs w:val="20"/>
              </w:rPr>
              <w:t>N/A</w:t>
            </w:r>
          </w:p>
        </w:tc>
        <w:tc>
          <w:tcPr>
            <w:tcW w:w="1680" w:type="dxa"/>
          </w:tcPr>
          <w:p w14:paraId="1E6AB3D2" w14:textId="0352D4D6" w:rsidR="00C706BC" w:rsidRPr="00C706BC" w:rsidRDefault="00F515F8">
            <w:pPr>
              <w:rPr>
                <w:sz w:val="20"/>
                <w:szCs w:val="20"/>
              </w:rPr>
            </w:pPr>
            <w:r w:rsidRPr="00F515F8">
              <w:rPr>
                <w:sz w:val="20"/>
                <w:szCs w:val="20"/>
              </w:rPr>
              <w:t>N/A</w:t>
            </w:r>
          </w:p>
        </w:tc>
        <w:tc>
          <w:tcPr>
            <w:tcW w:w="1198" w:type="dxa"/>
          </w:tcPr>
          <w:p w14:paraId="6C7264F3" w14:textId="0DD2BEA4" w:rsidR="00C706BC" w:rsidRPr="00C706BC" w:rsidRDefault="00F515F8">
            <w:pPr>
              <w:rPr>
                <w:sz w:val="20"/>
                <w:szCs w:val="20"/>
              </w:rPr>
            </w:pPr>
            <w:r w:rsidRPr="00F515F8">
              <w:rPr>
                <w:sz w:val="20"/>
                <w:szCs w:val="20"/>
              </w:rPr>
              <w:t>N/A</w:t>
            </w:r>
          </w:p>
        </w:tc>
      </w:tr>
      <w:tr w:rsidR="00C706BC"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5A728B84" w:rsidR="00C706BC" w:rsidRPr="00C706BC" w:rsidRDefault="00F515F8">
            <w:pPr>
              <w:rPr>
                <w:sz w:val="20"/>
                <w:szCs w:val="20"/>
              </w:rPr>
            </w:pPr>
            <w:r w:rsidRPr="00F515F8">
              <w:rPr>
                <w:sz w:val="20"/>
                <w:szCs w:val="20"/>
              </w:rPr>
              <w:t>N/A</w:t>
            </w:r>
          </w:p>
        </w:tc>
        <w:tc>
          <w:tcPr>
            <w:tcW w:w="1034" w:type="dxa"/>
          </w:tcPr>
          <w:p w14:paraId="1D8C1559" w14:textId="4647C162" w:rsidR="00C706BC" w:rsidRPr="00C706BC" w:rsidRDefault="00F515F8">
            <w:pPr>
              <w:rPr>
                <w:sz w:val="20"/>
                <w:szCs w:val="20"/>
              </w:rPr>
            </w:pPr>
            <w:r w:rsidRPr="00F515F8">
              <w:rPr>
                <w:sz w:val="20"/>
                <w:szCs w:val="20"/>
              </w:rPr>
              <w:t>N/A</w:t>
            </w:r>
          </w:p>
        </w:tc>
        <w:tc>
          <w:tcPr>
            <w:tcW w:w="1680" w:type="dxa"/>
          </w:tcPr>
          <w:p w14:paraId="221BB5E6" w14:textId="781CFE20" w:rsidR="00C706BC" w:rsidRPr="00C706BC" w:rsidRDefault="00F515F8">
            <w:pPr>
              <w:rPr>
                <w:sz w:val="20"/>
                <w:szCs w:val="20"/>
              </w:rPr>
            </w:pPr>
            <w:r w:rsidRPr="00F515F8">
              <w:rPr>
                <w:sz w:val="20"/>
                <w:szCs w:val="20"/>
              </w:rPr>
              <w:t>N/A</w:t>
            </w:r>
          </w:p>
        </w:tc>
        <w:tc>
          <w:tcPr>
            <w:tcW w:w="1198" w:type="dxa"/>
          </w:tcPr>
          <w:p w14:paraId="066AD255" w14:textId="4E39B650" w:rsidR="00C706BC" w:rsidRPr="00C706BC" w:rsidRDefault="00F515F8">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24A3E"/>
    <w:rsid w:val="00026823"/>
    <w:rsid w:val="0012164C"/>
    <w:rsid w:val="001416C2"/>
    <w:rsid w:val="00183048"/>
    <w:rsid w:val="00185CA7"/>
    <w:rsid w:val="001E1F87"/>
    <w:rsid w:val="00293681"/>
    <w:rsid w:val="003B0C9F"/>
    <w:rsid w:val="0045492B"/>
    <w:rsid w:val="006A295F"/>
    <w:rsid w:val="006E093C"/>
    <w:rsid w:val="00715D05"/>
    <w:rsid w:val="00837014"/>
    <w:rsid w:val="00853E15"/>
    <w:rsid w:val="00A61163"/>
    <w:rsid w:val="00A814CF"/>
    <w:rsid w:val="00AB4D1E"/>
    <w:rsid w:val="00C03B39"/>
    <w:rsid w:val="00C706BC"/>
    <w:rsid w:val="00C8137C"/>
    <w:rsid w:val="00CB37C8"/>
    <w:rsid w:val="00CB473A"/>
    <w:rsid w:val="00CD6437"/>
    <w:rsid w:val="00D26E36"/>
    <w:rsid w:val="00D572E8"/>
    <w:rsid w:val="00E0119D"/>
    <w:rsid w:val="00ED7DA9"/>
    <w:rsid w:val="00EE3CF4"/>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5</cp:revision>
  <dcterms:created xsi:type="dcterms:W3CDTF">2025-10-02T11:21:00Z</dcterms:created>
  <dcterms:modified xsi:type="dcterms:W3CDTF">2025-10-02T12:09:00Z</dcterms:modified>
</cp:coreProperties>
</file>